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94" w:rsidRPr="00D92ED8" w:rsidRDefault="003B1894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4882" w:type="pct"/>
        <w:tblCellMar>
          <w:left w:w="10" w:type="dxa"/>
          <w:right w:w="10" w:type="dxa"/>
        </w:tblCellMar>
        <w:tblLook w:val="04A0"/>
      </w:tblPr>
      <w:tblGrid>
        <w:gridCol w:w="1364"/>
        <w:gridCol w:w="5579"/>
        <w:gridCol w:w="1084"/>
        <w:gridCol w:w="5666"/>
      </w:tblGrid>
      <w:tr w:rsidR="004A42A4" w:rsidRPr="00D92ED8" w:rsidTr="00EB280F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 xml:space="preserve">                   NUMER LEKCJI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TEMATY</w:t>
            </w:r>
          </w:p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LICZBA GODZIN</w:t>
            </w:r>
          </w:p>
          <w:p w:rsidR="004A42A4" w:rsidRPr="00D92ED8" w:rsidRDefault="004A42A4">
            <w:pPr>
              <w:pStyle w:val="Nagwek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A4" w:rsidRPr="00D92ED8" w:rsidRDefault="004A42A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WYMAGANIA KONIECZNE    (</w:t>
            </w: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K</w:t>
            </w:r>
            <w:r w:rsidRPr="00D92ED8">
              <w:rPr>
                <w:rFonts w:asciiTheme="minorHAnsi" w:hAnsiTheme="minorHAnsi" w:cstheme="minorHAnsi"/>
                <w:color w:val="000000"/>
              </w:rPr>
              <w:t>)  ;WYMAGANIA PODSTAWOWE  (</w:t>
            </w: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Pr="00D92ED8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4A42A4" w:rsidRPr="00D92ED8" w:rsidRDefault="004A42A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WYMAGANIA ROZSZERZAJĄCE  (</w:t>
            </w: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R</w:t>
            </w:r>
            <w:r w:rsidRPr="00D92ED8">
              <w:rPr>
                <w:rFonts w:asciiTheme="minorHAnsi" w:hAnsiTheme="minorHAnsi" w:cstheme="minorHAnsi"/>
                <w:color w:val="000000"/>
              </w:rPr>
              <w:t>);  WYMAGANIA DOPEŁNIAJĄCE  (</w:t>
            </w: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  <w:r w:rsidRPr="00D92ED8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4A42A4" w:rsidRPr="00D92ED8" w:rsidRDefault="004A42A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A42A4" w:rsidRPr="00D92ED8" w:rsidRDefault="004A42A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Uczeń::</w:t>
            </w:r>
          </w:p>
        </w:tc>
      </w:tr>
      <w:tr w:rsidR="004A42A4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 xml:space="preserve"> Omówienie programu nauczania i systemu oceniania.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A4" w:rsidRPr="00D92ED8" w:rsidRDefault="004A42A4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42A4" w:rsidRPr="00D92ED8" w:rsidTr="004A42A4">
        <w:tc>
          <w:tcPr>
            <w:tcW w:w="498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2,3,4</w:t>
            </w:r>
          </w:p>
        </w:tc>
        <w:tc>
          <w:tcPr>
            <w:tcW w:w="2037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Podsystemy produkcji</w:t>
            </w:r>
          </w:p>
        </w:tc>
        <w:tc>
          <w:tcPr>
            <w:tcW w:w="396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przedsiębiorstwo, produkcja K,</w:t>
            </w:r>
          </w:p>
          <w:p w:rsidR="004A42A4" w:rsidRPr="00D92ED8" w:rsidRDefault="004A42A4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rodzaje procesów produkcyjnych P,</w:t>
            </w:r>
          </w:p>
          <w:p w:rsidR="004A42A4" w:rsidRPr="00D92ED8" w:rsidRDefault="004A42A4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rodzaje procesów produkcyjnych D,</w:t>
            </w:r>
          </w:p>
          <w:p w:rsidR="004A42A4" w:rsidRPr="00D92ED8" w:rsidRDefault="004A42A4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Potrafi mapować procesy produkcyjne</w:t>
            </w:r>
          </w:p>
        </w:tc>
      </w:tr>
      <w:tr w:rsidR="004A42A4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5,6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System produkcyjny i jego otoczenie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 przepływ produkcyjny K,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elementy systemów produkcyjnych P,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elementy procesów produkcyjnych R,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czynniki wpływające na procesy produkcyjne D</w:t>
            </w:r>
          </w:p>
        </w:tc>
      </w:tr>
      <w:tr w:rsidR="004A42A4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7,8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Nowoczesne systemy produkcyjne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elastyczny system produkcyjny K,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cechy TPS P,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cechy TPS R,</w:t>
            </w:r>
          </w:p>
          <w:p w:rsidR="00E0017A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korzyści wynikające ze stosowania ESP D</w:t>
            </w:r>
          </w:p>
        </w:tc>
      </w:tr>
      <w:tr w:rsidR="004A42A4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9,10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Struktura informacyjna procesu produkcyjnego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 w:rsidP="00CB7BDA">
            <w:pPr>
              <w:widowControl w:val="0"/>
              <w:numPr>
                <w:ilvl w:val="0"/>
                <w:numId w:val="1"/>
              </w:numPr>
              <w:tabs>
                <w:tab w:val="num" w:pos="167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8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informatyczny system zarządzania  K</w:t>
            </w:r>
          </w:p>
        </w:tc>
      </w:tr>
      <w:tr w:rsidR="004A42A4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Powtórzenie wiadomości z działu: „Przepływy produkcyjne „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0017A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4A42A4" w:rsidP="004011E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A42A4" w:rsidRPr="00D92ED8" w:rsidTr="004A42A4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Praca klasowa z działu” Przepływy produkcyjne”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A42A4" w:rsidP="004011E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A42A4" w:rsidRPr="00D92ED8" w:rsidTr="004A42A4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13,14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Wprowadzenie do sterowania produkcją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sterowanie przepływem produkcji, zapas  K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rodzaje planów P,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Omawia rodzaje planów R,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metody sterowania produkcją D</w:t>
            </w:r>
          </w:p>
        </w:tc>
      </w:tr>
      <w:tr w:rsidR="004A42A4" w:rsidRPr="00D92ED8" w:rsidTr="004A42A4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15,16,17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Zasady i metody sterowania przepływem produkcji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zasady sterowania przepływem produkcji K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Omawia zasady sterowania przepływem produkcji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P,R,D</w:t>
            </w:r>
            <w:proofErr w:type="spellEnd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</w:tc>
      </w:tr>
      <w:tr w:rsidR="004A42A4" w:rsidRPr="00D92ED8" w:rsidTr="004A42A4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18,19,20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Sterowanie zasobami materiałowymi i produkcyjnymi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 : MRP, CPM K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Wymienia funkcje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MRP,CPM</w:t>
            </w:r>
            <w:proofErr w:type="spellEnd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P,</w:t>
            </w:r>
          </w:p>
          <w:p w:rsidR="004011EF" w:rsidRPr="00D92ED8" w:rsidRDefault="004011E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funkcje MRP, CPM R</w:t>
            </w:r>
          </w:p>
          <w:p w:rsidR="004011EF" w:rsidRPr="00D92ED8" w:rsidRDefault="00EB280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Oblicza metodą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MRP,CPM</w:t>
            </w:r>
            <w:proofErr w:type="spellEnd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D</w:t>
            </w:r>
          </w:p>
        </w:tc>
      </w:tr>
      <w:tr w:rsidR="004A42A4" w:rsidRPr="00D92ED8" w:rsidTr="004A42A4">
        <w:trPr>
          <w:trHeight w:val="276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A42A4" w:rsidP="00EB28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 xml:space="preserve">Powtórzenie wiadomości z działu: </w:t>
            </w:r>
            <w:r w:rsidR="00293271"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„Przepływy produkcyjne „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42A4" w:rsidRPr="00D92ED8" w:rsidRDefault="004A42A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A42A4" w:rsidRPr="00D92ED8" w:rsidTr="00EB280F">
        <w:trPr>
          <w:trHeight w:val="422"/>
        </w:trPr>
        <w:tc>
          <w:tcPr>
            <w:tcW w:w="4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 w:rsidP="00EB28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Praca klasowa z działu: „</w:t>
            </w:r>
            <w:r w:rsidR="00293271"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Przepływy produkcyjne „</w:t>
            </w:r>
            <w:r w:rsidRPr="00D92ED8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4A42A4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4A42A4" w:rsidRPr="00D92ED8" w:rsidTr="00EB280F">
        <w:trPr>
          <w:trHeight w:val="323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23,24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Logistyka zaopatrzenia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A4" w:rsidRPr="00D92ED8" w:rsidRDefault="00EB280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zadania zaopatrzenia K,</w:t>
            </w:r>
          </w:p>
          <w:p w:rsidR="00EB280F" w:rsidRPr="00D92ED8" w:rsidRDefault="00EB280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Omawia regułę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Pareto</w:t>
            </w:r>
            <w:proofErr w:type="spellEnd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P,</w:t>
            </w:r>
          </w:p>
          <w:p w:rsidR="00EB280F" w:rsidRPr="00D92ED8" w:rsidRDefault="00EB280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Omawia regułę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Pareto</w:t>
            </w:r>
            <w:proofErr w:type="spellEnd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R,</w:t>
            </w:r>
          </w:p>
          <w:p w:rsidR="00EB280F" w:rsidRPr="00D92ED8" w:rsidRDefault="00EB280F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Przeprowadza analizę ABC D</w:t>
            </w:r>
          </w:p>
        </w:tc>
      </w:tr>
      <w:tr w:rsidR="004A42A4" w:rsidRPr="00D92ED8" w:rsidTr="00EB280F">
        <w:trPr>
          <w:trHeight w:val="357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25,26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28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Procedury zakupowe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etapy zarządzania zakupami K,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etapy zarządzania zakupami P,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zasady wyboru źródeł zakupu i przewoźnika R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Potrafi przeprowadzić ocenę dostawców</w:t>
            </w:r>
          </w:p>
        </w:tc>
      </w:tr>
      <w:tr w:rsidR="004A42A4" w:rsidRPr="00D92ED8" w:rsidTr="004A42A4">
        <w:trPr>
          <w:trHeight w:val="247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Zarządzanie funduszem czasu i harmonogramowanie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4A42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A42A4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 harmonogram K,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elementy harmonogramu P,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elementy harmonogramu R,</w:t>
            </w:r>
          </w:p>
          <w:p w:rsidR="00EB5BF5" w:rsidRPr="00D92ED8" w:rsidRDefault="00EB5BF5" w:rsidP="00CB7BDA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Sporządza harmonogram D</w:t>
            </w:r>
          </w:p>
        </w:tc>
      </w:tr>
      <w:tr w:rsidR="00EB5BF5" w:rsidRPr="00D92ED8" w:rsidTr="004A42A4">
        <w:trPr>
          <w:trHeight w:val="221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5BF5" w:rsidRPr="00D92ED8" w:rsidRDefault="00FB7B15" w:rsidP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5BF5" w:rsidRPr="00D92ED8" w:rsidRDefault="00EB5BF5" w:rsidP="00EB5B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Wykres Gantta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5BF5" w:rsidRPr="00D92ED8" w:rsidRDefault="00EB5BF5" w:rsidP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5BF5" w:rsidRPr="00D92ED8" w:rsidRDefault="00FB7B15" w:rsidP="00EB5BF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co to wykres Gantta K,</w:t>
            </w:r>
          </w:p>
          <w:p w:rsidR="00FB7B15" w:rsidRPr="00D92ED8" w:rsidRDefault="00FB7B15" w:rsidP="00EB5BF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Wyjaśnia ścieżkę krytyczną P,</w:t>
            </w:r>
          </w:p>
          <w:p w:rsidR="00FB7B15" w:rsidRPr="00D92ED8" w:rsidRDefault="00FB7B15" w:rsidP="00EB5BF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zasady harmonogramowania procesów produkcyjnych R,</w:t>
            </w:r>
          </w:p>
          <w:p w:rsidR="00FB7B15" w:rsidRPr="00D92ED8" w:rsidRDefault="00FB7B15" w:rsidP="00FB7B1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zasady harmonogramowania procesów produkcji D</w:t>
            </w:r>
          </w:p>
        </w:tc>
      </w:tr>
      <w:tr w:rsidR="00EB5BF5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F5" w:rsidRPr="00D92ED8" w:rsidRDefault="00FB7B15" w:rsidP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F5" w:rsidRPr="00D92ED8" w:rsidRDefault="00FB7B15" w:rsidP="00EB5B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Harmonogram produkcji MPS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F5" w:rsidRPr="00D92ED8" w:rsidRDefault="00EB5BF5" w:rsidP="00EB5B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F5" w:rsidRPr="00D92ED8" w:rsidRDefault="00FB7B15" w:rsidP="00EB5BF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harmonogram produkcji MPS K,</w:t>
            </w:r>
          </w:p>
          <w:p w:rsidR="00FB7B15" w:rsidRPr="00D92ED8" w:rsidRDefault="00FB7B15" w:rsidP="00EB5BF5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Omawia algorytm Palmera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P,R</w:t>
            </w:r>
            <w:proofErr w:type="spellEnd"/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 xml:space="preserve">Powtórzenie wiadomości z działu: </w:t>
            </w: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„Przepływy produkcyjne „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Praca klasowa z działu: „</w:t>
            </w: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 Przepływy produkcyjne „</w:t>
            </w:r>
            <w:r w:rsidRPr="00D92ED8">
              <w:rPr>
                <w:rFonts w:asciiTheme="minorHAnsi" w:hAnsiTheme="minorHAnsi" w:cstheme="minorHAnsi"/>
                <w:color w:val="000000"/>
              </w:rPr>
              <w:t>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93271" w:rsidRPr="00D92ED8" w:rsidTr="00293271">
        <w:trPr>
          <w:trHeight w:val="1701"/>
        </w:trPr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Logistyczny system gospodarki odpadami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pojęcie: gospodarowanie odpadami K,</w:t>
            </w:r>
          </w:p>
          <w:p w:rsidR="00293271" w:rsidRPr="00D92ED8" w:rsidRDefault="00293271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elementy logistycznego systemu gospodarki odpadami P,</w:t>
            </w:r>
          </w:p>
          <w:p w:rsidR="00293271" w:rsidRPr="00D92ED8" w:rsidRDefault="00293271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elementy  logistycznego systemu gospodarki odpadami R,</w:t>
            </w:r>
          </w:p>
          <w:p w:rsidR="00293271" w:rsidRPr="00D92ED8" w:rsidRDefault="00293271" w:rsidP="00293271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33,34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Klasyfikacja odpadów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kryteria odpadów P</w:t>
            </w:r>
          </w:p>
          <w:p w:rsidR="00293271" w:rsidRPr="00D92ED8" w:rsidRDefault="00293271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poszczególne kryteria odpadów R</w:t>
            </w:r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Działania w zakresie gospodarowania odpadami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obiekty gospodarowania odpadami K</w:t>
            </w:r>
          </w:p>
          <w:p w:rsidR="006322A7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aspekty gospodarowania odpadami P</w:t>
            </w:r>
          </w:p>
          <w:p w:rsidR="006322A7" w:rsidRPr="00D92ED8" w:rsidRDefault="006322A7" w:rsidP="006322A7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Omawia aspekty gospodarowania odpadami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R,D</w:t>
            </w:r>
            <w:proofErr w:type="spellEnd"/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Regulacje prawne dotyczące postępowania odpadami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 xml:space="preserve">Regulacje prawne dotyczące postępowania z odpadami </w:t>
            </w:r>
            <w:proofErr w:type="spellStart"/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P,R,D</w:t>
            </w:r>
            <w:proofErr w:type="spellEnd"/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37,38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Recykling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Wyjaśnia pojęcie recykling K,</w:t>
            </w:r>
          </w:p>
          <w:p w:rsidR="006322A7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Wymienia wskaźniki recyklingu P</w:t>
            </w:r>
          </w:p>
          <w:p w:rsidR="006322A7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Omawia wskaźniki recyklingu R,</w:t>
            </w:r>
          </w:p>
          <w:p w:rsidR="006322A7" w:rsidRPr="00D92ED8" w:rsidRDefault="006322A7" w:rsidP="00293271">
            <w:pPr>
              <w:widowControl w:val="0"/>
              <w:numPr>
                <w:ilvl w:val="0"/>
                <w:numId w:val="2"/>
              </w:numPr>
              <w:tabs>
                <w:tab w:val="num" w:pos="167"/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 w:hanging="1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Zna znaki dotyczące ekologii D</w:t>
            </w:r>
          </w:p>
        </w:tc>
      </w:tr>
      <w:tr w:rsidR="006322A7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2A7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39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2A7" w:rsidRPr="00D92ED8" w:rsidRDefault="006322A7" w:rsidP="006322A7">
            <w:pPr>
              <w:widowControl w:val="0"/>
              <w:tabs>
                <w:tab w:val="left" w:pos="4232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Powtórzenie wiadomości z działu: „Logistyka odpadów”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2A7" w:rsidRPr="00D92ED8" w:rsidRDefault="00D92ED8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22A7" w:rsidRPr="00D92ED8" w:rsidRDefault="006322A7" w:rsidP="006322A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93271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6322A7" w:rsidP="006322A7">
            <w:pPr>
              <w:widowControl w:val="0"/>
              <w:tabs>
                <w:tab w:val="left" w:pos="4232"/>
              </w:tabs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Praca klasowa z działu: ”Logistyka odpadów”</w:t>
            </w:r>
            <w:r w:rsidRPr="00D92ED8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293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3271" w:rsidRPr="00D92ED8" w:rsidRDefault="00293271" w:rsidP="006322A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67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Jakość usług transportowych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</w:rPr>
              <w:t>-wyjaśnia pojęcie jakości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</w:rPr>
              <w:t>- wymienia cechy jakości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</w:rPr>
              <w:t>-omawia cechy jakości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</w:rPr>
              <w:t>- potrafi przedstawić poziom jakości w postaci matematycznej D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Model jakości usług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-wyjaśnia pojęcie: model jakości usług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-wymienia podstawowe cechy modelu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-graficznie przedstawia model jakości usług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-omawia model jakości usług  D,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Monitorowanie i mierzenie jakości usług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-wyjaśnia pojęcia: monitorowanie i mierzenie jakości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-wymienia kryteria mierzalne jakości usług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-wyjaśnia zastosowanie skali SERVQUAL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-na podanym przykładzie potrafi zmierzyć jakość usług D,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Pojęcie systemu zarządzania jakością i jego elementy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pojęcie: system zarządzania jakością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-wymienia fazy tworzenia SZJ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-omawia fazy SZJ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-omawia elementy SZJ D,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Podstawowe pojęcia z zakresu zarządzania jakością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pojęcia: zarządzanie jakością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-potrafi wyjaśnić różnicę między klientem zewnętrznym a wewnętrznym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-potrafi wyjaśnić różnicę między jakością projektu a jakością wykonania .R,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-potrafi podać przykłady praktyczne poszczególnych definicji  D,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Dokumentacja systemu zarządzania jakością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-wymienia dokumenty SZJ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-przedstawia hierarchię dokumentów SZJ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-grupuje dokumenty na zewnętrzne i wewnętrzne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hAnsiTheme="minorHAnsi" w:cstheme="minorHAnsi"/>
                <w:color w:val="000000"/>
                <w:lang w:eastAsia="en-US"/>
              </w:rPr>
              <w:t>-omawia dokumenty SZJ D,</w:t>
            </w: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Powtórzenie wiadomości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z działu: „Jakość</w:t>
            </w:r>
            <w:r w:rsidRPr="00D92ED8">
              <w:rPr>
                <w:rFonts w:asciiTheme="minorHAnsi" w:hAnsiTheme="minorHAnsi" w:cstheme="minorHAnsi"/>
                <w:lang w:eastAsia="en-US"/>
              </w:rPr>
              <w:t>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ind w:left="478"/>
              <w:rPr>
                <w:rFonts w:asciiTheme="minorHAnsi" w:hAnsiTheme="minorHAnsi" w:cstheme="minorHAnsi"/>
              </w:rPr>
            </w:pP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 xml:space="preserve">Praca klasowa </w:t>
            </w:r>
            <w:r>
              <w:rPr>
                <w:rFonts w:asciiTheme="minorHAnsi" w:hAnsiTheme="minorHAnsi" w:cstheme="minorHAnsi"/>
                <w:lang w:eastAsia="en-US"/>
              </w:rPr>
              <w:t xml:space="preserve"> z działu: „Jakość</w:t>
            </w:r>
            <w:r w:rsidRPr="00D92ED8">
              <w:rPr>
                <w:rFonts w:asciiTheme="minorHAnsi" w:hAnsiTheme="minorHAnsi" w:cstheme="minorHAnsi"/>
                <w:lang w:eastAsia="en-US"/>
              </w:rPr>
              <w:t>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pStyle w:val="Akapitzlist"/>
              <w:ind w:left="478"/>
              <w:rPr>
                <w:rFonts w:asciiTheme="minorHAnsi" w:hAnsiTheme="minorHAnsi" w:cstheme="minorHAnsi"/>
              </w:rPr>
            </w:pPr>
          </w:p>
        </w:tc>
      </w:tr>
      <w:tr w:rsidR="00D92ED8" w:rsidRPr="00D92ED8" w:rsidTr="00D92ED8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49,50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Satysfakcja klienta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pojęcie: satysfakcja klienta K,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-wymienia elementy modelu satysfakcji klienta  P,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-omawia elementy modelu satysfakcji klienta R,</w:t>
            </w:r>
          </w:p>
          <w:p w:rsidR="00D92ED8" w:rsidRPr="00D92ED8" w:rsidRDefault="00D92ED8" w:rsidP="00D92ED8">
            <w:pPr>
              <w:pStyle w:val="Akapitzlist"/>
              <w:numPr>
                <w:ilvl w:val="0"/>
                <w:numId w:val="16"/>
              </w:numPr>
              <w:ind w:left="478" w:hanging="283"/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powstanie dysonansu u klienta D,</w:t>
            </w:r>
          </w:p>
        </w:tc>
      </w:tr>
      <w:tr w:rsidR="00D92ED8" w:rsidRPr="00D92ED8" w:rsidTr="00D92ED8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51,52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Metody pomiaru satysfakcji klienta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-wymienia grupy metod służących do badania satysfakcji klienta K,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-wymienia metody występujące w każdej grupie P,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 xml:space="preserve">-omawia metody pomiaru satysfakcji klienta R, </w:t>
            </w:r>
          </w:p>
          <w:p w:rsidR="00D92ED8" w:rsidRPr="00D92ED8" w:rsidRDefault="00D92ED8" w:rsidP="00D92ED8">
            <w:pPr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znaczenie pomiaru satysfakcji klienta D,</w:t>
            </w:r>
          </w:p>
        </w:tc>
      </w:tr>
      <w:tr w:rsidR="00D92ED8" w:rsidRPr="00D92ED8" w:rsidTr="00D92ED8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53,54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Strategiczne podejście do zarządzania przedsiębiorstwem transportowym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-wyjaśnia pojęcia: misja, wizja, cele i zadania i strategia działania K,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-wyjaśnia znaczenie misji i wizji w przedsiębiorstwie P,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-omawia znaczenie tworzenia strategii w przedsiębiorstwie R,</w:t>
            </w:r>
          </w:p>
          <w:p w:rsidR="00D92ED8" w:rsidRPr="00D92ED8" w:rsidRDefault="00D92ED8" w:rsidP="00D92ED8">
            <w:pPr>
              <w:rPr>
                <w:rFonts w:asciiTheme="minorHAnsi" w:eastAsia="Calibr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t>-konstruuje przykładowe misje i wizje przedsiębiorstwa transportowego D</w:t>
            </w:r>
          </w:p>
        </w:tc>
      </w:tr>
      <w:tr w:rsidR="00D92ED8" w:rsidRPr="00D92ED8" w:rsidTr="00D92ED8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55-58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Narzędzia i techniki projakościowe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eastAsia="Calibri" w:hAnsiTheme="minorHAnsi" w:cstheme="minorHAnsi"/>
              </w:rPr>
              <w:t>-wymienia techniki i narzędzia projakościowe K,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 xml:space="preserve">-opisuje burzę mózgów, wykres </w:t>
            </w:r>
            <w:proofErr w:type="spellStart"/>
            <w:r w:rsidRPr="00D92ED8">
              <w:rPr>
                <w:rFonts w:asciiTheme="minorHAnsi" w:hAnsiTheme="minorHAnsi" w:cstheme="minorHAnsi"/>
                <w:lang w:eastAsia="en-US"/>
              </w:rPr>
              <w:t>Ishikawy</w:t>
            </w:r>
            <w:proofErr w:type="spellEnd"/>
            <w:r w:rsidRPr="00D92ED8">
              <w:rPr>
                <w:rFonts w:asciiTheme="minorHAnsi" w:hAnsiTheme="minorHAnsi" w:cstheme="minorHAnsi"/>
                <w:lang w:eastAsia="en-US"/>
              </w:rPr>
              <w:t xml:space="preserve">, wykres </w:t>
            </w:r>
            <w:proofErr w:type="spellStart"/>
            <w:r w:rsidRPr="00D92ED8">
              <w:rPr>
                <w:rFonts w:asciiTheme="minorHAnsi" w:hAnsiTheme="minorHAnsi" w:cstheme="minorHAnsi"/>
                <w:lang w:eastAsia="en-US"/>
              </w:rPr>
              <w:t>Pareto</w:t>
            </w:r>
            <w:proofErr w:type="spellEnd"/>
            <w:r w:rsidRPr="00D92ED8">
              <w:rPr>
                <w:rFonts w:asciiTheme="minorHAnsi" w:hAnsiTheme="minorHAnsi" w:cstheme="minorHAnsi"/>
                <w:lang w:eastAsia="en-US"/>
              </w:rPr>
              <w:t>, analizę pięciu sił, diagram zależności, diagram systematyki, diagram strzałkowy, diagram PDPC, diagram pokrewieństwa, diagram macierzowy, analizę oddziaływań, schemat blokowy P,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  <w:lang w:eastAsia="en-US"/>
              </w:rPr>
            </w:pPr>
            <w:r w:rsidRPr="00D92ED8">
              <w:rPr>
                <w:rFonts w:asciiTheme="minorHAnsi" w:hAnsiTheme="minorHAnsi" w:cstheme="minorHAnsi"/>
                <w:lang w:eastAsia="en-US"/>
              </w:rPr>
              <w:t>-w sposób graficzny przedstawia techniki i narzędzia projakościowe ‘R,</w:t>
            </w:r>
          </w:p>
          <w:p w:rsidR="00D92ED8" w:rsidRPr="00D92ED8" w:rsidRDefault="00D92ED8" w:rsidP="00D92ED8">
            <w:pPr>
              <w:rPr>
                <w:rFonts w:asciiTheme="minorHAnsi" w:hAnsiTheme="minorHAnsi" w:cstheme="minorHAnsi"/>
              </w:rPr>
            </w:pPr>
            <w:r w:rsidRPr="00D92ED8">
              <w:rPr>
                <w:rFonts w:asciiTheme="minorHAnsi" w:eastAsia="Calibri" w:hAnsiTheme="minorHAnsi" w:cstheme="minorHAnsi"/>
              </w:rPr>
              <w:lastRenderedPageBreak/>
              <w:t>-omawia zastosowanie wybranych technik i narzędzi projakościowych D,</w:t>
            </w:r>
          </w:p>
        </w:tc>
      </w:tr>
      <w:tr w:rsidR="00D92ED8" w:rsidRPr="00D92ED8" w:rsidTr="00D92ED8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59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Powtórzenie wiadomości</w:t>
            </w:r>
            <w:r>
              <w:rPr>
                <w:rFonts w:asciiTheme="minorHAnsi" w:hAnsiTheme="minorHAnsi" w:cstheme="minorHAnsi"/>
                <w:color w:val="000000"/>
              </w:rPr>
              <w:t xml:space="preserve"> z działu „Jakość 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ED8" w:rsidRPr="00D92ED8" w:rsidRDefault="00D92ED8" w:rsidP="00D92ED8">
            <w:pPr>
              <w:rPr>
                <w:rFonts w:asciiTheme="minorHAnsi" w:hAnsiTheme="minorHAnsi" w:cstheme="minorHAnsi"/>
              </w:rPr>
            </w:pPr>
          </w:p>
        </w:tc>
      </w:tr>
      <w:tr w:rsidR="00D92ED8" w:rsidRPr="00D92ED8" w:rsidTr="004A42A4"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2037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92ED8">
              <w:rPr>
                <w:rFonts w:asciiTheme="minorHAnsi" w:hAnsiTheme="minorHAnsi" w:cstheme="minorHAnsi"/>
                <w:color w:val="000000"/>
              </w:rPr>
              <w:t>Praca klasowa</w:t>
            </w:r>
            <w:r>
              <w:rPr>
                <w:rFonts w:asciiTheme="minorHAnsi" w:hAnsiTheme="minorHAnsi" w:cstheme="minorHAnsi"/>
                <w:color w:val="000000"/>
              </w:rPr>
              <w:t xml:space="preserve"> z działu: „Jakość”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92ED8" w:rsidRPr="00D92ED8" w:rsidRDefault="00D92ED8" w:rsidP="00D92E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92ED8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069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D92ED8" w:rsidRPr="00D92ED8" w:rsidRDefault="00D92ED8" w:rsidP="00D92ED8">
            <w:pPr>
              <w:rPr>
                <w:rFonts w:asciiTheme="minorHAnsi" w:hAnsiTheme="minorHAnsi" w:cstheme="minorHAnsi"/>
              </w:rPr>
            </w:pPr>
          </w:p>
        </w:tc>
      </w:tr>
    </w:tbl>
    <w:p w:rsidR="004A42A4" w:rsidRPr="00D92ED8" w:rsidRDefault="004A42A4" w:rsidP="004A42A4">
      <w:pPr>
        <w:rPr>
          <w:rFonts w:asciiTheme="minorHAnsi" w:hAnsiTheme="minorHAnsi" w:cstheme="minorHAnsi"/>
        </w:rPr>
      </w:pPr>
    </w:p>
    <w:p w:rsidR="004A42A4" w:rsidRPr="00D92ED8" w:rsidRDefault="004A42A4">
      <w:pPr>
        <w:rPr>
          <w:rFonts w:asciiTheme="minorHAnsi" w:hAnsiTheme="minorHAnsi" w:cstheme="minorHAnsi"/>
        </w:rPr>
      </w:pPr>
    </w:p>
    <w:sectPr w:rsidR="004A42A4" w:rsidRPr="00D92ED8" w:rsidSect="004A4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FCD"/>
    <w:multiLevelType w:val="hybridMultilevel"/>
    <w:tmpl w:val="80363FAE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111D"/>
    <w:multiLevelType w:val="hybridMultilevel"/>
    <w:tmpl w:val="8EA0F4BE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11EA"/>
    <w:multiLevelType w:val="hybridMultilevel"/>
    <w:tmpl w:val="FFD8AF06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30BD"/>
    <w:multiLevelType w:val="hybridMultilevel"/>
    <w:tmpl w:val="EDEE7342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67635"/>
    <w:multiLevelType w:val="hybridMultilevel"/>
    <w:tmpl w:val="2090A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E55AB"/>
    <w:multiLevelType w:val="hybridMultilevel"/>
    <w:tmpl w:val="8CD8C386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97877"/>
    <w:multiLevelType w:val="hybridMultilevel"/>
    <w:tmpl w:val="81784FA6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F1BEB"/>
    <w:multiLevelType w:val="hybridMultilevel"/>
    <w:tmpl w:val="5DF05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324D"/>
    <w:multiLevelType w:val="hybridMultilevel"/>
    <w:tmpl w:val="D88C0040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176DA"/>
    <w:multiLevelType w:val="hybridMultilevel"/>
    <w:tmpl w:val="CAD84C8C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57D60"/>
    <w:multiLevelType w:val="hybridMultilevel"/>
    <w:tmpl w:val="4BA440FA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A7164"/>
    <w:multiLevelType w:val="hybridMultilevel"/>
    <w:tmpl w:val="97589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D5925"/>
    <w:multiLevelType w:val="hybridMultilevel"/>
    <w:tmpl w:val="B57E1B6C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D62CE"/>
    <w:multiLevelType w:val="hybridMultilevel"/>
    <w:tmpl w:val="ACDE48B8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371A3"/>
    <w:multiLevelType w:val="hybridMultilevel"/>
    <w:tmpl w:val="7CDEBBD2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2A4"/>
    <w:rsid w:val="00293271"/>
    <w:rsid w:val="003B1894"/>
    <w:rsid w:val="004011EF"/>
    <w:rsid w:val="004A42A4"/>
    <w:rsid w:val="006322A7"/>
    <w:rsid w:val="00A30558"/>
    <w:rsid w:val="00AD053E"/>
    <w:rsid w:val="00D92ED8"/>
    <w:rsid w:val="00E0017A"/>
    <w:rsid w:val="00EB280F"/>
    <w:rsid w:val="00EB5BF5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2A4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jc w:val="center"/>
      <w:outlineLvl w:val="0"/>
    </w:pPr>
    <w:rPr>
      <w:b/>
      <w:bCs/>
      <w:color w:val="00000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A42A4"/>
    <w:pPr>
      <w:keepNext/>
      <w:widowControl w:val="0"/>
      <w:suppressAutoHyphens/>
      <w:autoSpaceDE w:val="0"/>
      <w:autoSpaceDN w:val="0"/>
      <w:adjustRightInd w:val="0"/>
      <w:jc w:val="center"/>
      <w:outlineLvl w:val="1"/>
    </w:pPr>
    <w:rPr>
      <w:b/>
      <w:bCs/>
      <w:color w:val="00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2A4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42A4"/>
    <w:rPr>
      <w:rFonts w:ascii="Times New Roman" w:eastAsia="Times New Roman" w:hAnsi="Times New Roman" w:cs="Times New Roman"/>
      <w:b/>
      <w:bCs/>
      <w:color w:val="000000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2022-09-07T16:15:00Z</cp:lastPrinted>
  <dcterms:created xsi:type="dcterms:W3CDTF">2022-08-31T14:00:00Z</dcterms:created>
  <dcterms:modified xsi:type="dcterms:W3CDTF">2022-09-07T16:15:00Z</dcterms:modified>
</cp:coreProperties>
</file>